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9793"/>
      </w:tblGrid>
      <w:tr w:rsidR="00794649" w:rsidRPr="00794649" w14:paraId="64587240" w14:textId="77777777" w:rsidTr="00201952">
        <w:trPr>
          <w:trHeight w:val="328"/>
        </w:trPr>
        <w:tc>
          <w:tcPr>
            <w:tcW w:w="1393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14:paraId="0CFD1698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48" w:lineRule="exact"/>
              <w:ind w:left="4"/>
              <w:jc w:val="center"/>
              <w:rPr>
                <w:rFonts w:eastAsia="Times New Roman" w:cstheme="minorHAnsi"/>
                <w:b/>
                <w:sz w:val="23"/>
                <w:lang w:val="en-US"/>
              </w:rPr>
            </w:pPr>
            <w:r w:rsidRPr="00794649">
              <w:rPr>
                <w:rFonts w:eastAsia="Times New Roman" w:cstheme="minorHAnsi"/>
                <w:b/>
                <w:sz w:val="23"/>
                <w:lang w:val="en-US"/>
              </w:rPr>
              <w:t>SCHEDA SINTETICA PCTO</w:t>
            </w:r>
          </w:p>
        </w:tc>
      </w:tr>
      <w:tr w:rsidR="00794649" w:rsidRPr="00794649" w14:paraId="2145B5A4" w14:textId="77777777" w:rsidTr="00794649">
        <w:trPr>
          <w:trHeight w:val="712"/>
        </w:trPr>
        <w:tc>
          <w:tcPr>
            <w:tcW w:w="4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E176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>Titolo</w:t>
            </w:r>
            <w:proofErr w:type="spellEnd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 xml:space="preserve"> </w:t>
            </w:r>
            <w:proofErr w:type="spellStart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>Percorso</w:t>
            </w:r>
            <w:proofErr w:type="spellEnd"/>
          </w:p>
        </w:tc>
        <w:tc>
          <w:tcPr>
            <w:tcW w:w="9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2808" w14:textId="2AF0CC1F" w:rsidR="00794649" w:rsidRPr="00794649" w:rsidRDefault="00692472" w:rsidP="00794649">
            <w:pPr>
              <w:widowControl w:val="0"/>
              <w:autoSpaceDE w:val="0"/>
              <w:autoSpaceDN w:val="0"/>
              <w:spacing w:before="1" w:after="0" w:line="240" w:lineRule="auto"/>
              <w:ind w:left="2"/>
              <w:rPr>
                <w:rFonts w:eastAsia="Times New Roman" w:cstheme="minorHAnsi"/>
                <w:b/>
                <w:sz w:val="23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3"/>
                <w:lang w:val="en-US"/>
              </w:rPr>
              <w:t>Progetto</w:t>
            </w:r>
            <w:proofErr w:type="spellEnd"/>
            <w:r>
              <w:rPr>
                <w:rFonts w:eastAsia="Times New Roman" w:cstheme="minorHAnsi"/>
                <w:b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3"/>
                <w:lang w:val="en-US"/>
              </w:rPr>
              <w:t>grafico</w:t>
            </w:r>
            <w:proofErr w:type="spellEnd"/>
            <w:r>
              <w:rPr>
                <w:rFonts w:eastAsia="Times New Roman" w:cstheme="minorHAnsi"/>
                <w:b/>
                <w:sz w:val="23"/>
                <w:lang w:val="en-US"/>
              </w:rPr>
              <w:t xml:space="preserve"> “BROCHURE LICEO </w:t>
            </w:r>
            <w:proofErr w:type="spellStart"/>
            <w:r>
              <w:rPr>
                <w:rFonts w:eastAsia="Times New Roman" w:cstheme="minorHAnsi"/>
                <w:b/>
                <w:sz w:val="23"/>
                <w:lang w:val="en-US"/>
              </w:rPr>
              <w:t>SCIENTIFICO</w:t>
            </w:r>
            <w:proofErr w:type="spellEnd"/>
            <w:r>
              <w:rPr>
                <w:rFonts w:eastAsia="Times New Roman" w:cstheme="minorHAnsi"/>
                <w:b/>
                <w:sz w:val="23"/>
                <w:lang w:val="en-US"/>
              </w:rPr>
              <w:t>”</w:t>
            </w:r>
          </w:p>
        </w:tc>
      </w:tr>
      <w:tr w:rsidR="00794649" w:rsidRPr="00794649" w14:paraId="6A95B820" w14:textId="77777777" w:rsidTr="00794649">
        <w:trPr>
          <w:trHeight w:val="703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61C70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t>Descrizione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8D08" w14:textId="77777777" w:rsidR="00883CE0" w:rsidRPr="00883CE0" w:rsidRDefault="00883CE0" w:rsidP="00883CE0">
            <w:pPr>
              <w:rPr>
                <w:rFonts w:eastAsia="Times New Roman" w:cstheme="minorHAnsi"/>
                <w:sz w:val="23"/>
                <w:lang w:val="en-US"/>
              </w:rPr>
            </w:pPr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Il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progetto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è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finalizzato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alla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realizzazione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una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brochure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formato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A4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orizzontale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che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contenga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tutte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informazioni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riguardanti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il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percorso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studi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del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Liceo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Scientifico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G.Brotzu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Quartu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S.E. (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corso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ordinario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corso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delle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scienze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applicate).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Gli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alunni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lavoreranno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in team, in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gruppi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massimo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cinque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elementi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;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durante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tutte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fasi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, dal brief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progettazione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al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prodotto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finito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, i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ruoli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saranno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interscambiabili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al fine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dare ad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ogni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singolo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allievo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la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possibilità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conoscere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differenti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figure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professionali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(graphic design, copywriter,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ecc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.)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che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cooperano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nella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realizzazione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un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progetto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>.</w:t>
            </w:r>
          </w:p>
          <w:p w14:paraId="248DAF95" w14:textId="3A746584" w:rsidR="00794649" w:rsidRPr="00794649" w:rsidRDefault="00883CE0" w:rsidP="00794649">
            <w:pPr>
              <w:widowControl w:val="0"/>
              <w:autoSpaceDE w:val="0"/>
              <w:autoSpaceDN w:val="0"/>
              <w:spacing w:after="0" w:line="261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L'idea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progettuale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dovrà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essere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presentata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su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supporto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cartaceo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attraverso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una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serie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bozzetti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che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illustrino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il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processo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ideativo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creativo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dei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singoli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team;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passerà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quindi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alla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progettazione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grafica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definitiva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al pc.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Sarà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cura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del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soggetto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richiedente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scegliere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,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tra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opzioni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proposte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dai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singoli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team,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quella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comunicativamente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più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valida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che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dovrà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andare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in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stampa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ed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essere</w:t>
            </w:r>
            <w:proofErr w:type="spellEnd"/>
            <w:r w:rsidRPr="00883CE0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883CE0">
              <w:rPr>
                <w:rFonts w:eastAsia="Times New Roman" w:cstheme="minorHAnsi"/>
                <w:sz w:val="23"/>
                <w:lang w:val="en-US"/>
              </w:rPr>
              <w:t>distribuita</w:t>
            </w:r>
            <w:proofErr w:type="spellEnd"/>
          </w:p>
        </w:tc>
      </w:tr>
      <w:tr w:rsidR="00794649" w:rsidRPr="00794649" w14:paraId="1116C885" w14:textId="77777777" w:rsidTr="00794649">
        <w:trPr>
          <w:trHeight w:val="988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8B08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t>Destinatari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37502" w14:textId="77777777" w:rsidR="0095538B" w:rsidRDefault="0095538B" w:rsidP="00794649">
            <w:pPr>
              <w:widowControl w:val="0"/>
              <w:autoSpaceDE w:val="0"/>
              <w:autoSpaceDN w:val="0"/>
              <w:spacing w:after="0" w:line="253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</w:p>
          <w:p w14:paraId="1173587F" w14:textId="5A5A148E" w:rsidR="00794649" w:rsidRPr="00794649" w:rsidRDefault="0095538B" w:rsidP="00794649">
            <w:pPr>
              <w:widowControl w:val="0"/>
              <w:autoSpaceDE w:val="0"/>
              <w:autoSpaceDN w:val="0"/>
              <w:spacing w:after="0" w:line="253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Allievi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classi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 4^C e 5^C </w:t>
            </w: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Grafica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 del </w:t>
            </w: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Liceo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Artistico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 “</w:t>
            </w: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G.Brotzu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” </w:t>
            </w: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95538B">
              <w:rPr>
                <w:rFonts w:eastAsia="Times New Roman" w:cstheme="minorHAnsi"/>
                <w:sz w:val="23"/>
                <w:lang w:val="en-US"/>
              </w:rPr>
              <w:t>Quartu</w:t>
            </w:r>
            <w:proofErr w:type="spellEnd"/>
            <w:r w:rsidRPr="0095538B">
              <w:rPr>
                <w:rFonts w:eastAsia="Times New Roman" w:cstheme="minorHAnsi"/>
                <w:sz w:val="23"/>
                <w:lang w:val="en-US"/>
              </w:rPr>
              <w:t xml:space="preserve"> S.E.</w:t>
            </w:r>
          </w:p>
        </w:tc>
      </w:tr>
      <w:tr w:rsidR="00794649" w:rsidRPr="00794649" w14:paraId="6683CE3D" w14:textId="77777777" w:rsidTr="00201952">
        <w:trPr>
          <w:trHeight w:val="1053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75BA0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t>Finalità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9617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Fornire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conoscenze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necessarie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controllare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numerose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variabili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del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processo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traducendo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informazioni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raccolte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attraverso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supporti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analogici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tecnologici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222BBF08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Acquisire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la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capacità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osservazione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ed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individuazione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delle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soluzioni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grafiche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semanticamente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più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consone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all'idea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progettuale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034C651C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Acquisire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la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capacità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ragionare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operativamente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,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processualmente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progettualmente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, al fine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poter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realizzare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correttamente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coerentemente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un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prodotto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24CF966D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Fornire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dati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necessari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per un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confronto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tra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quanto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prodotto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per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comprendere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variazioni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sistematiche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circoscriverne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l’accettabilità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in base 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considerazioni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estetiche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4ACA905E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Potenziare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identità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artistiche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motivate 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produrre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concetti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visivi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maniera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comunicativamente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efficaci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.</w:t>
            </w:r>
          </w:p>
          <w:p w14:paraId="58113C8A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lastRenderedPageBreak/>
              <w:t>Rafforzare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supportare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competenze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saperi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base in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ambito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estetico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,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visivo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comunicativo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,</w:t>
            </w:r>
          </w:p>
          <w:p w14:paraId="284C6488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nella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loro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trasversalità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ed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operatibilità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nei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contesti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vita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lavoro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;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Stimolare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ciascuno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dei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discenti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il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diritto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alla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formazione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continua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permanente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.</w:t>
            </w:r>
          </w:p>
          <w:p w14:paraId="15B98C8D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Comprendere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saper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sfruttare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informazioni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relative ai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programmi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utilizzati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0A51BA38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Imparare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ottenere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informazioni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sicure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su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tutto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quanto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è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implicato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nella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realizzazione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un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prodotto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(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iter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progettuale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, figure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professionali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,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ecc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.);</w:t>
            </w:r>
          </w:p>
          <w:p w14:paraId="7C61A445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Imparare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risolvere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problemi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tecnici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relativi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alla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produzione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un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prodotto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48E7F888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Porre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le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basi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per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studi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più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approfonditi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sulla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sulla</w:t>
            </w:r>
            <w:proofErr w:type="spellEnd"/>
          </w:p>
          <w:p w14:paraId="063650DA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    </w:t>
            </w:r>
          </w:p>
          <w:p w14:paraId="6CC86DB2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  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composizione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testi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immagini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60252FD6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Conoscere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i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fondamenti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della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percezione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visiva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imparare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a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tenerne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conto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0DA90D6C" w14:textId="77777777" w:rsidR="00B87D5C" w:rsidRPr="00B87D5C" w:rsidRDefault="00B87D5C" w:rsidP="00B87D5C">
            <w:pPr>
              <w:rPr>
                <w:rFonts w:eastAsia="Times New Roman" w:cstheme="minorHAnsi"/>
                <w:sz w:val="23"/>
                <w:lang w:val="en-US"/>
              </w:rPr>
            </w:pPr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Studio,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progettazione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,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elaborazione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e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stampa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un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prodotto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;</w:t>
            </w:r>
          </w:p>
          <w:p w14:paraId="4522E3A3" w14:textId="29749232" w:rsidR="00794649" w:rsidRPr="00794649" w:rsidRDefault="00B87D5C" w:rsidP="00794649">
            <w:pPr>
              <w:widowControl w:val="0"/>
              <w:autoSpaceDE w:val="0"/>
              <w:autoSpaceDN w:val="0"/>
              <w:spacing w:after="0" w:line="261" w:lineRule="exact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Sviluppo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di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un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progetto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grafico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B87D5C">
              <w:rPr>
                <w:rFonts w:eastAsia="Times New Roman" w:cstheme="minorHAnsi"/>
                <w:sz w:val="23"/>
                <w:lang w:val="en-US"/>
              </w:rPr>
              <w:t>coerente</w:t>
            </w:r>
            <w:proofErr w:type="spellEnd"/>
            <w:r w:rsidRPr="00B87D5C">
              <w:rPr>
                <w:rFonts w:eastAsia="Times New Roman" w:cstheme="minorHAnsi"/>
                <w:sz w:val="23"/>
                <w:lang w:val="en-US"/>
              </w:rPr>
              <w:t>.</w:t>
            </w:r>
          </w:p>
        </w:tc>
      </w:tr>
      <w:tr w:rsidR="00794649" w:rsidRPr="00794649" w14:paraId="59288DAB" w14:textId="77777777" w:rsidTr="00201952">
        <w:trPr>
          <w:trHeight w:val="558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BD4D2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lastRenderedPageBreak/>
              <w:t>Referente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07440" w14:textId="13262CDE" w:rsidR="00794649" w:rsidRPr="00794649" w:rsidRDefault="003149DE" w:rsidP="00794649">
            <w:pPr>
              <w:widowControl w:val="0"/>
              <w:autoSpaceDE w:val="0"/>
              <w:autoSpaceDN w:val="0"/>
              <w:spacing w:after="0" w:line="261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PROFESSORESSA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CRISTINA COLLU</w:t>
            </w:r>
          </w:p>
        </w:tc>
      </w:tr>
      <w:tr w:rsidR="00794649" w:rsidRPr="00794649" w14:paraId="77E418F9" w14:textId="77777777" w:rsidTr="00201952">
        <w:trPr>
          <w:trHeight w:val="566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FD1D6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>Durata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1A3C1" w14:textId="2D061B14" w:rsidR="00794649" w:rsidRPr="00794649" w:rsidRDefault="003149DE" w:rsidP="00794649">
            <w:pPr>
              <w:widowControl w:val="0"/>
              <w:autoSpaceDE w:val="0"/>
              <w:autoSpaceDN w:val="0"/>
              <w:spacing w:after="0" w:line="261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3149DE">
              <w:rPr>
                <w:rFonts w:eastAsia="Times New Roman" w:cstheme="minorHAnsi"/>
                <w:sz w:val="23"/>
                <w:lang w:val="en-US"/>
              </w:rPr>
              <w:t>Fase</w:t>
            </w:r>
            <w:proofErr w:type="spellEnd"/>
            <w:r w:rsidRPr="003149DE"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 w:rsidRPr="003149DE">
              <w:rPr>
                <w:rFonts w:eastAsia="Times New Roman" w:cstheme="minorHAnsi"/>
                <w:sz w:val="23"/>
                <w:lang w:val="en-US"/>
              </w:rPr>
              <w:t>iniziale</w:t>
            </w:r>
            <w:proofErr w:type="spellEnd"/>
            <w:r w:rsidRPr="003149DE">
              <w:rPr>
                <w:rFonts w:eastAsia="Times New Roman" w:cstheme="minorHAnsi"/>
                <w:sz w:val="23"/>
                <w:lang w:val="en-US"/>
              </w:rPr>
              <w:t xml:space="preserve"> 17.10.22 </w:t>
            </w:r>
            <w:proofErr w:type="spellStart"/>
            <w:r w:rsidRPr="003149DE">
              <w:rPr>
                <w:rFonts w:eastAsia="Times New Roman" w:cstheme="minorHAnsi"/>
                <w:sz w:val="23"/>
                <w:lang w:val="en-US"/>
              </w:rPr>
              <w:t>Fase</w:t>
            </w:r>
            <w:proofErr w:type="spellEnd"/>
            <w:r w:rsidRPr="003149DE">
              <w:rPr>
                <w:rFonts w:eastAsia="Times New Roman" w:cstheme="minorHAnsi"/>
                <w:sz w:val="23"/>
                <w:lang w:val="en-US"/>
              </w:rPr>
              <w:t xml:space="preserve"> intermedia 24.10.22 </w:t>
            </w:r>
            <w:proofErr w:type="spellStart"/>
            <w:r w:rsidRPr="003149DE">
              <w:rPr>
                <w:rFonts w:eastAsia="Times New Roman" w:cstheme="minorHAnsi"/>
                <w:sz w:val="23"/>
                <w:lang w:val="en-US"/>
              </w:rPr>
              <w:t>Fase</w:t>
            </w:r>
            <w:proofErr w:type="spellEnd"/>
            <w:r w:rsidRPr="003149DE">
              <w:rPr>
                <w:rFonts w:eastAsia="Times New Roman" w:cstheme="minorHAnsi"/>
                <w:sz w:val="23"/>
                <w:lang w:val="en-US"/>
              </w:rPr>
              <w:t xml:space="preserve"> finale 05.11.22</w:t>
            </w:r>
          </w:p>
        </w:tc>
      </w:tr>
      <w:tr w:rsidR="00794649" w:rsidRPr="00794649" w14:paraId="09D8F834" w14:textId="77777777" w:rsidTr="00201952">
        <w:trPr>
          <w:trHeight w:val="560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FDF3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3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r>
              <w:rPr>
                <w:rFonts w:eastAsia="Times New Roman" w:cstheme="minorHAnsi"/>
                <w:sz w:val="23"/>
                <w:lang w:val="en-US"/>
              </w:rPr>
              <w:t xml:space="preserve">e mail per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richiedere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informazioni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FF8F" w14:textId="77777777" w:rsidR="00794649" w:rsidRPr="00794649" w:rsidRDefault="00794649" w:rsidP="00794649">
            <w:pPr>
              <w:widowControl w:val="0"/>
              <w:autoSpaceDE w:val="0"/>
              <w:autoSpaceDN w:val="0"/>
              <w:spacing w:after="0" w:line="263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</w:p>
        </w:tc>
      </w:tr>
    </w:tbl>
    <w:p w14:paraId="7F6551F0" w14:textId="4094EEED" w:rsidR="00794649" w:rsidRPr="00794649" w:rsidRDefault="00794649" w:rsidP="00794649">
      <w:r w:rsidRPr="00794649">
        <w:t>INDICARE A QUALE AREA APPARTIENE IL PCTO IN BASE ALLE DESCRIZIONI CONTENUTE NEL PTOF DELL’ISTITUT</w:t>
      </w:r>
      <w:r w:rsidR="008D3E9D">
        <w:t>O</w:t>
      </w:r>
    </w:p>
    <w:p w14:paraId="6D056942" w14:textId="77777777" w:rsidR="00794649" w:rsidRPr="00794649" w:rsidRDefault="00794649" w:rsidP="00794649">
      <w:r w:rsidRPr="00794649">
        <w:rPr>
          <w:rFonts w:ascii="MS Gothic" w:eastAsia="MS Gothic" w:hAnsi="MS Gothic" w:cs="MS Gothic" w:hint="eastAsia"/>
          <w:bCs/>
          <w:lang w:val="en-US"/>
        </w:rPr>
        <w:t>☐</w:t>
      </w:r>
      <w:r w:rsidRPr="00794649">
        <w:rPr>
          <w:bCs/>
          <w:lang w:val="en-US"/>
        </w:rPr>
        <w:t xml:space="preserve"> </w:t>
      </w:r>
      <w:r w:rsidRPr="00794649">
        <w:t xml:space="preserve">AREA DISCIPLINARE </w:t>
      </w:r>
    </w:p>
    <w:p w14:paraId="03A3F999" w14:textId="77777777" w:rsidR="00794649" w:rsidRDefault="00794649" w:rsidP="00794649">
      <w:pPr>
        <w:rPr>
          <w:b/>
        </w:rPr>
      </w:pPr>
    </w:p>
    <w:p w14:paraId="44AB165C" w14:textId="77777777" w:rsidR="00794649" w:rsidRPr="00794649" w:rsidRDefault="00794649" w:rsidP="00794649">
      <w:pPr>
        <w:rPr>
          <w:b/>
        </w:rPr>
      </w:pPr>
    </w:p>
    <w:p w14:paraId="72858E9A" w14:textId="77777777" w:rsidR="00794649" w:rsidRPr="00794649" w:rsidRDefault="00794649" w:rsidP="00794649"/>
    <w:p w14:paraId="08BC9938" w14:textId="77777777" w:rsidR="00734321" w:rsidRDefault="00734321"/>
    <w:sectPr w:rsidR="00734321" w:rsidSect="007946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0AA"/>
    <w:multiLevelType w:val="hybridMultilevel"/>
    <w:tmpl w:val="72048998"/>
    <w:lvl w:ilvl="0" w:tplc="A3F204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052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649"/>
    <w:rsid w:val="00201952"/>
    <w:rsid w:val="00312FB0"/>
    <w:rsid w:val="003149DE"/>
    <w:rsid w:val="00343B64"/>
    <w:rsid w:val="0060691A"/>
    <w:rsid w:val="00692472"/>
    <w:rsid w:val="00734321"/>
    <w:rsid w:val="00794649"/>
    <w:rsid w:val="00883CE0"/>
    <w:rsid w:val="008D3E9D"/>
    <w:rsid w:val="0095538B"/>
    <w:rsid w:val="00B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974A"/>
  <w15:docId w15:val="{B296BE10-A487-6742-A318-8F0EED6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marianna inserra</cp:lastModifiedBy>
  <cp:revision>2</cp:revision>
  <dcterms:created xsi:type="dcterms:W3CDTF">2022-10-20T16:24:00Z</dcterms:created>
  <dcterms:modified xsi:type="dcterms:W3CDTF">2022-10-20T16:24:00Z</dcterms:modified>
</cp:coreProperties>
</file>